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62" w:rsidRPr="000C6004" w:rsidRDefault="00CB0762" w:rsidP="00CB0762">
      <w:pPr>
        <w:rPr>
          <w:rFonts w:eastAsia="Times New Roman" w:cs="Times New Roman"/>
          <w:sz w:val="22"/>
          <w:szCs w:val="22"/>
        </w:rPr>
      </w:pPr>
      <w:r w:rsidRPr="000C6004">
        <w:rPr>
          <w:rFonts w:eastAsia="Times New Roman" w:cs="Times New Roman"/>
          <w:sz w:val="22"/>
          <w:szCs w:val="22"/>
        </w:rPr>
        <w:t>Your Name address, zip</w:t>
      </w:r>
      <w:r w:rsidRPr="000C6004">
        <w:rPr>
          <w:rFonts w:eastAsia="Times New Roman" w:cs="Times New Roman"/>
          <w:sz w:val="22"/>
          <w:szCs w:val="22"/>
        </w:rPr>
        <w:br/>
        <w:t xml:space="preserve">Date: </w:t>
      </w:r>
    </w:p>
    <w:p w:rsidR="00CB0762" w:rsidRPr="000C6004" w:rsidRDefault="00CB0762" w:rsidP="00CB0762">
      <w:pPr>
        <w:rPr>
          <w:rFonts w:eastAsia="Times New Roman" w:cs="Times New Roman"/>
          <w:sz w:val="22"/>
          <w:szCs w:val="22"/>
        </w:rPr>
      </w:pPr>
    </w:p>
    <w:p w:rsidR="00CB0762" w:rsidRPr="000C6004" w:rsidRDefault="00CB0762" w:rsidP="00CB0762">
      <w:pPr>
        <w:rPr>
          <w:sz w:val="22"/>
          <w:szCs w:val="22"/>
        </w:rPr>
      </w:pPr>
      <w:r w:rsidRPr="000C6004">
        <w:rPr>
          <w:rFonts w:eastAsia="Times New Roman" w:cs="Times New Roman"/>
          <w:sz w:val="22"/>
          <w:szCs w:val="22"/>
        </w:rPr>
        <w:t xml:space="preserve">Office of the Secretary </w:t>
      </w:r>
      <w:r w:rsidRPr="000C6004">
        <w:rPr>
          <w:rFonts w:eastAsia="Times New Roman" w:cs="Times New Roman"/>
          <w:sz w:val="22"/>
          <w:szCs w:val="22"/>
        </w:rPr>
        <w:br/>
        <w:t>Federal Communications Commission</w:t>
      </w:r>
    </w:p>
    <w:p w:rsidR="00CB0762" w:rsidRPr="000C6004" w:rsidRDefault="00CB0762" w:rsidP="00CB0762">
      <w:pPr>
        <w:rPr>
          <w:sz w:val="22"/>
          <w:szCs w:val="22"/>
        </w:rPr>
      </w:pPr>
      <w:r w:rsidRPr="000C6004">
        <w:rPr>
          <w:rFonts w:eastAsia="Times New Roman" w:cs="Times New Roman"/>
          <w:sz w:val="22"/>
          <w:szCs w:val="22"/>
        </w:rPr>
        <w:t xml:space="preserve">45 L Street NE </w:t>
      </w:r>
      <w:r w:rsidRPr="000C6004">
        <w:rPr>
          <w:rFonts w:eastAsia="Times New Roman" w:cs="Times New Roman"/>
          <w:sz w:val="22"/>
          <w:szCs w:val="22"/>
        </w:rPr>
        <w:br/>
        <w:t>Washington, DC 20554</w:t>
      </w:r>
    </w:p>
    <w:p w:rsidR="00CB0762" w:rsidRPr="000C6004" w:rsidRDefault="00CB0762" w:rsidP="00CB0762">
      <w:pPr>
        <w:rPr>
          <w:sz w:val="22"/>
          <w:szCs w:val="22"/>
        </w:rPr>
      </w:pPr>
    </w:p>
    <w:p w:rsidR="00CB0762" w:rsidRPr="000C6004" w:rsidRDefault="00CB0762" w:rsidP="00CB0762">
      <w:pPr>
        <w:rPr>
          <w:rFonts w:eastAsia="Times New Roman" w:cs="Times New Roman"/>
          <w:sz w:val="22"/>
          <w:szCs w:val="22"/>
        </w:rPr>
      </w:pPr>
      <w:r w:rsidRPr="000C6004">
        <w:rPr>
          <w:sz w:val="22"/>
          <w:szCs w:val="22"/>
        </w:rPr>
        <w:t xml:space="preserve">Re: </w:t>
      </w:r>
      <w:r w:rsidRPr="000C6004">
        <w:rPr>
          <w:rFonts w:eastAsia="Times New Roman" w:cs="Times New Roman"/>
          <w:sz w:val="22"/>
          <w:szCs w:val="22"/>
        </w:rPr>
        <w:t xml:space="preserve">WC Docket No. 25-276, Build America: Eliminating Barriers to Wireless Deployment </w:t>
      </w:r>
    </w:p>
    <w:p w:rsidR="00CB0762" w:rsidRPr="000C6004" w:rsidRDefault="00CB0762" w:rsidP="00CB0762">
      <w:pPr>
        <w:rPr>
          <w:sz w:val="22"/>
          <w:szCs w:val="22"/>
        </w:rPr>
      </w:pPr>
    </w:p>
    <w:p w:rsidR="00CB0762" w:rsidRPr="000C6004" w:rsidRDefault="00CB0762" w:rsidP="00CB0762">
      <w:pPr>
        <w:rPr>
          <w:sz w:val="22"/>
          <w:szCs w:val="22"/>
        </w:rPr>
      </w:pPr>
      <w:r w:rsidRPr="000C6004">
        <w:rPr>
          <w:sz w:val="22"/>
          <w:szCs w:val="22"/>
        </w:rPr>
        <w:t xml:space="preserve">Dear Secretary Marlene </w:t>
      </w:r>
      <w:proofErr w:type="spellStart"/>
      <w:r w:rsidRPr="000C6004">
        <w:rPr>
          <w:sz w:val="22"/>
          <w:szCs w:val="22"/>
        </w:rPr>
        <w:t>Dortch</w:t>
      </w:r>
      <w:proofErr w:type="spellEnd"/>
      <w:r w:rsidRPr="000C6004">
        <w:rPr>
          <w:sz w:val="22"/>
          <w:szCs w:val="22"/>
        </w:rPr>
        <w:t xml:space="preserve">, </w:t>
      </w:r>
      <w:r w:rsidRPr="000C6004">
        <w:rPr>
          <w:sz w:val="22"/>
          <w:szCs w:val="22"/>
        </w:rPr>
        <w:br/>
      </w:r>
      <w:r w:rsidRPr="000C6004">
        <w:rPr>
          <w:sz w:val="22"/>
          <w:szCs w:val="22"/>
        </w:rPr>
        <w:br/>
        <w:t xml:space="preserve">I am writing regarding the above proposed rulemaking: </w:t>
      </w:r>
      <w:r w:rsidRPr="000C6004">
        <w:rPr>
          <w:rFonts w:eastAsia="Times New Roman" w:cs="Times New Roman"/>
          <w:sz w:val="22"/>
          <w:szCs w:val="22"/>
        </w:rPr>
        <w:t xml:space="preserve">There is concern among </w:t>
      </w:r>
      <w:proofErr w:type="spellStart"/>
      <w:r w:rsidRPr="000C6004">
        <w:rPr>
          <w:rFonts w:eastAsia="Times New Roman" w:cs="Times New Roman"/>
          <w:sz w:val="22"/>
          <w:szCs w:val="22"/>
        </w:rPr>
        <w:t>telecommuncations</w:t>
      </w:r>
      <w:proofErr w:type="spellEnd"/>
      <w:r w:rsidRPr="000C6004">
        <w:rPr>
          <w:rFonts w:eastAsia="Times New Roman" w:cs="Times New Roman"/>
          <w:sz w:val="22"/>
          <w:szCs w:val="22"/>
        </w:rPr>
        <w:t xml:space="preserve"> companies that they continue to encounter “barriers to wireless deployment</w:t>
      </w:r>
      <w:r w:rsidR="00B70531" w:rsidRPr="000C6004">
        <w:rPr>
          <w:rFonts w:eastAsia="Times New Roman" w:cs="Times New Roman"/>
          <w:sz w:val="22"/>
          <w:szCs w:val="22"/>
        </w:rPr>
        <w:t>.</w:t>
      </w:r>
      <w:r w:rsidRPr="000C6004">
        <w:rPr>
          <w:rFonts w:eastAsia="Times New Roman" w:cs="Times New Roman"/>
          <w:sz w:val="22"/>
          <w:szCs w:val="22"/>
        </w:rPr>
        <w:t xml:space="preserve">” </w:t>
      </w:r>
      <w:r w:rsidR="00B70531" w:rsidRPr="000C6004">
        <w:rPr>
          <w:rFonts w:eastAsia="Times New Roman" w:cs="Times New Roman"/>
          <w:sz w:val="22"/>
          <w:szCs w:val="22"/>
        </w:rPr>
        <w:t xml:space="preserve">They want the Commission </w:t>
      </w:r>
      <w:r w:rsidRPr="000C6004">
        <w:rPr>
          <w:rFonts w:eastAsia="Times New Roman" w:cs="Times New Roman"/>
          <w:sz w:val="22"/>
          <w:szCs w:val="22"/>
        </w:rPr>
        <w:t xml:space="preserve">to </w:t>
      </w:r>
      <w:r w:rsidR="00B70531" w:rsidRPr="000C6004">
        <w:rPr>
          <w:rFonts w:eastAsia="Times New Roman" w:cs="Times New Roman"/>
          <w:sz w:val="22"/>
          <w:szCs w:val="22"/>
        </w:rPr>
        <w:t>eliminate any</w:t>
      </w:r>
      <w:r w:rsidRPr="000C6004">
        <w:rPr>
          <w:rFonts w:eastAsia="Times New Roman" w:cs="Times New Roman"/>
          <w:sz w:val="22"/>
          <w:szCs w:val="22"/>
        </w:rPr>
        <w:t xml:space="preserve"> control </w:t>
      </w:r>
      <w:r w:rsidR="00B70531" w:rsidRPr="000C6004">
        <w:rPr>
          <w:rFonts w:eastAsia="Times New Roman" w:cs="Times New Roman"/>
          <w:sz w:val="22"/>
          <w:szCs w:val="22"/>
        </w:rPr>
        <w:t>by local government for</w:t>
      </w:r>
      <w:r w:rsidRPr="000C6004">
        <w:rPr>
          <w:rFonts w:eastAsia="Times New Roman" w:cs="Times New Roman"/>
          <w:sz w:val="22"/>
          <w:szCs w:val="22"/>
        </w:rPr>
        <w:t xml:space="preserve"> </w:t>
      </w:r>
      <w:r w:rsidR="00B70531" w:rsidRPr="000C6004">
        <w:rPr>
          <w:rFonts w:eastAsia="Times New Roman" w:cs="Times New Roman"/>
          <w:sz w:val="22"/>
          <w:szCs w:val="22"/>
        </w:rPr>
        <w:t xml:space="preserve">cell tower, small cell, and antenna array </w:t>
      </w:r>
      <w:r w:rsidRPr="000C6004">
        <w:rPr>
          <w:rFonts w:eastAsia="Times New Roman" w:cs="Times New Roman"/>
          <w:sz w:val="22"/>
          <w:szCs w:val="22"/>
        </w:rPr>
        <w:t>placemen</w:t>
      </w:r>
      <w:r w:rsidR="00B70531" w:rsidRPr="000C6004">
        <w:rPr>
          <w:rFonts w:eastAsia="Times New Roman" w:cs="Times New Roman"/>
          <w:sz w:val="22"/>
          <w:szCs w:val="22"/>
        </w:rPr>
        <w:t xml:space="preserve">t. </w:t>
      </w:r>
      <w:r w:rsidR="00B70531" w:rsidRPr="000C6004">
        <w:rPr>
          <w:rFonts w:eastAsia="Times New Roman" w:cs="Times New Roman"/>
          <w:sz w:val="22"/>
          <w:szCs w:val="22"/>
        </w:rPr>
        <w:br/>
      </w:r>
      <w:r w:rsidR="00B70531" w:rsidRPr="000C6004">
        <w:rPr>
          <w:rFonts w:eastAsia="Times New Roman" w:cs="Times New Roman"/>
          <w:sz w:val="22"/>
          <w:szCs w:val="22"/>
        </w:rPr>
        <w:br/>
      </w:r>
      <w:r w:rsidR="000C6004" w:rsidRPr="000C6004">
        <w:rPr>
          <w:rFonts w:eastAsia="Times New Roman" w:cs="Times New Roman"/>
          <w:sz w:val="22"/>
          <w:szCs w:val="22"/>
        </w:rPr>
        <w:t>Telecom</w:t>
      </w:r>
      <w:r w:rsidR="00B70531" w:rsidRPr="000C6004">
        <w:rPr>
          <w:rFonts w:eastAsia="Times New Roman" w:cs="Times New Roman"/>
          <w:sz w:val="22"/>
          <w:szCs w:val="22"/>
        </w:rPr>
        <w:t xml:space="preserve"> want</w:t>
      </w:r>
      <w:r w:rsidR="000C6004" w:rsidRPr="000C6004">
        <w:rPr>
          <w:rFonts w:eastAsia="Times New Roman" w:cs="Times New Roman"/>
          <w:sz w:val="22"/>
          <w:szCs w:val="22"/>
        </w:rPr>
        <w:t>s</w:t>
      </w:r>
      <w:r w:rsidR="00B70531" w:rsidRPr="000C6004">
        <w:rPr>
          <w:rFonts w:eastAsia="Times New Roman" w:cs="Times New Roman"/>
          <w:sz w:val="22"/>
          <w:szCs w:val="22"/>
        </w:rPr>
        <w:t xml:space="preserve"> to get rid of RFR emissions monitoring and compliance, setbacks from schools or homes, aesthetics</w:t>
      </w:r>
      <w:r w:rsidR="004B2D5C" w:rsidRPr="000C6004">
        <w:rPr>
          <w:rFonts w:eastAsia="Times New Roman" w:cs="Times New Roman"/>
          <w:sz w:val="22"/>
          <w:szCs w:val="22"/>
        </w:rPr>
        <w:t xml:space="preserve"> requirements, including scenic </w:t>
      </w:r>
      <w:r w:rsidR="00682DD1" w:rsidRPr="000C6004">
        <w:rPr>
          <w:rFonts w:eastAsia="Times New Roman" w:cs="Times New Roman"/>
          <w:sz w:val="22"/>
          <w:szCs w:val="22"/>
        </w:rPr>
        <w:t xml:space="preserve">and </w:t>
      </w:r>
      <w:r w:rsidR="004B2D5C" w:rsidRPr="000C6004">
        <w:rPr>
          <w:rFonts w:eastAsia="Times New Roman" w:cs="Times New Roman"/>
          <w:sz w:val="22"/>
          <w:szCs w:val="22"/>
        </w:rPr>
        <w:t xml:space="preserve">historic reviews, due process and pubic oversight. They want to silence our government and communities, while allowing </w:t>
      </w:r>
      <w:r w:rsidR="00682DD1" w:rsidRPr="000C6004">
        <w:rPr>
          <w:rFonts w:eastAsia="Times New Roman" w:cs="Times New Roman"/>
          <w:sz w:val="22"/>
          <w:szCs w:val="22"/>
        </w:rPr>
        <w:t>uncontrolled infrastructure upgrades in frequencies and intensities. It appear</w:t>
      </w:r>
      <w:r w:rsidR="000C6004" w:rsidRPr="000C6004">
        <w:rPr>
          <w:rFonts w:eastAsia="Times New Roman" w:cs="Times New Roman"/>
          <w:sz w:val="22"/>
          <w:szCs w:val="22"/>
        </w:rPr>
        <w:t>s</w:t>
      </w:r>
      <w:r w:rsidR="00682DD1" w:rsidRPr="000C6004">
        <w:rPr>
          <w:rFonts w:eastAsia="Times New Roman" w:cs="Times New Roman"/>
          <w:sz w:val="22"/>
          <w:szCs w:val="22"/>
        </w:rPr>
        <w:t xml:space="preserve"> that the Commission is in lockstep with </w:t>
      </w:r>
      <w:r w:rsidR="000473D6" w:rsidRPr="000C6004">
        <w:rPr>
          <w:rFonts w:eastAsia="Times New Roman" w:cs="Times New Roman"/>
          <w:sz w:val="22"/>
          <w:szCs w:val="22"/>
        </w:rPr>
        <w:t>industry.</w:t>
      </w:r>
    </w:p>
    <w:p w:rsidR="00B70531" w:rsidRPr="000C6004" w:rsidRDefault="00B70531" w:rsidP="00CB0762">
      <w:pPr>
        <w:rPr>
          <w:sz w:val="22"/>
          <w:szCs w:val="22"/>
        </w:rPr>
      </w:pPr>
    </w:p>
    <w:p w:rsidR="00B70531" w:rsidRPr="000C6004" w:rsidRDefault="00B70531" w:rsidP="00B70531">
      <w:pPr>
        <w:rPr>
          <w:sz w:val="22"/>
          <w:szCs w:val="22"/>
        </w:rPr>
      </w:pPr>
      <w:r w:rsidRPr="000C6004">
        <w:rPr>
          <w:sz w:val="22"/>
          <w:szCs w:val="22"/>
        </w:rPr>
        <w:t xml:space="preserve">First, with regard to aesthetics, the </w:t>
      </w:r>
      <w:r w:rsidR="000C6004">
        <w:rPr>
          <w:sz w:val="22"/>
          <w:szCs w:val="22"/>
        </w:rPr>
        <w:t>recent</w:t>
      </w:r>
      <w:r w:rsidRPr="000C6004">
        <w:rPr>
          <w:sz w:val="22"/>
          <w:szCs w:val="22"/>
        </w:rPr>
        <w:t xml:space="preserve"> memo from </w:t>
      </w:r>
      <w:r w:rsidR="000C6004" w:rsidRPr="000C6004">
        <w:rPr>
          <w:sz w:val="22"/>
          <w:szCs w:val="22"/>
        </w:rPr>
        <w:t xml:space="preserve">our local </w:t>
      </w:r>
      <w:r w:rsidR="000C6004">
        <w:rPr>
          <w:sz w:val="22"/>
          <w:szCs w:val="22"/>
        </w:rPr>
        <w:t>c</w:t>
      </w:r>
      <w:r w:rsidRPr="000C6004">
        <w:rPr>
          <w:sz w:val="22"/>
          <w:szCs w:val="22"/>
        </w:rPr>
        <w:t>ounty counsel states that:</w:t>
      </w:r>
    </w:p>
    <w:p w:rsidR="00B70531" w:rsidRPr="000C6004" w:rsidRDefault="00B70531" w:rsidP="00B70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C6004">
        <w:rPr>
          <w:sz w:val="22"/>
          <w:szCs w:val="22"/>
        </w:rPr>
        <w:t>Local agency can regulate setbacks, height, etc.</w:t>
      </w:r>
    </w:p>
    <w:p w:rsidR="00B70531" w:rsidRPr="000C6004" w:rsidRDefault="00B70531" w:rsidP="00B70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C6004">
        <w:rPr>
          <w:sz w:val="22"/>
          <w:szCs w:val="22"/>
        </w:rPr>
        <w:t>Local agency can regulate aesthetics.</w:t>
      </w:r>
    </w:p>
    <w:p w:rsidR="00B70531" w:rsidRPr="000C6004" w:rsidRDefault="00B70531" w:rsidP="00B70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C6004">
        <w:rPr>
          <w:sz w:val="22"/>
          <w:szCs w:val="22"/>
        </w:rPr>
        <w:t>Local agency can require screening, camouflage, and visual impact studies.</w:t>
      </w:r>
    </w:p>
    <w:p w:rsidR="00B70531" w:rsidRPr="000C6004" w:rsidRDefault="00B70531" w:rsidP="00B70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C6004">
        <w:rPr>
          <w:sz w:val="22"/>
          <w:szCs w:val="22"/>
        </w:rPr>
        <w:t>Impacts to visual resources such as scenic views can be considered.</w:t>
      </w:r>
    </w:p>
    <w:p w:rsidR="00B70531" w:rsidRPr="000C6004" w:rsidRDefault="00B70531" w:rsidP="00B70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C6004">
        <w:rPr>
          <w:sz w:val="22"/>
          <w:szCs w:val="22"/>
        </w:rPr>
        <w:t>Aesthetics can be a ground for a decision on the application, if there’s substantial evidence (See Sprint Telephony PCS, L.P. v. County of San Diego (9th Cir. 2008) 543 F.3d 571; see also 580 T-Mobile Cent</w:t>
      </w:r>
      <w:proofErr w:type="gramStart"/>
      <w:r w:rsidRPr="000C6004">
        <w:rPr>
          <w:sz w:val="22"/>
          <w:szCs w:val="22"/>
        </w:rPr>
        <w:t>.,</w:t>
      </w:r>
      <w:proofErr w:type="gramEnd"/>
      <w:r w:rsidRPr="000C6004">
        <w:rPr>
          <w:sz w:val="22"/>
          <w:szCs w:val="22"/>
        </w:rPr>
        <w:t xml:space="preserve"> LLC v. Unified Gov't of Wyandotte County, Kan.(10th Cir. 2008) 546 F.3d 1299.)</w:t>
      </w:r>
    </w:p>
    <w:p w:rsidR="00B70531" w:rsidRPr="000C6004" w:rsidRDefault="00B70531" w:rsidP="00B70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C6004">
        <w:rPr>
          <w:sz w:val="22"/>
          <w:szCs w:val="22"/>
        </w:rPr>
        <w:t>Local agency can require compliance with community character.</w:t>
      </w:r>
      <w:r w:rsidRPr="000C6004">
        <w:rPr>
          <w:sz w:val="22"/>
          <w:szCs w:val="22"/>
        </w:rPr>
        <w:br/>
      </w:r>
    </w:p>
    <w:p w:rsidR="00B70531" w:rsidRPr="000C6004" w:rsidRDefault="000473D6" w:rsidP="00B70531">
      <w:pPr>
        <w:rPr>
          <w:sz w:val="22"/>
          <w:szCs w:val="22"/>
        </w:rPr>
      </w:pPr>
      <w:r w:rsidRPr="000C6004">
        <w:rPr>
          <w:sz w:val="22"/>
          <w:szCs w:val="22"/>
        </w:rPr>
        <w:t>There are also</w:t>
      </w:r>
      <w:r w:rsidR="00B70531" w:rsidRPr="000C6004">
        <w:rPr>
          <w:sz w:val="22"/>
          <w:szCs w:val="22"/>
        </w:rPr>
        <w:t xml:space="preserve"> parameters that limit this authority</w:t>
      </w:r>
      <w:r w:rsidR="000C6004" w:rsidRPr="000C6004">
        <w:rPr>
          <w:sz w:val="22"/>
          <w:szCs w:val="22"/>
        </w:rPr>
        <w:t>. For instance, l</w:t>
      </w:r>
      <w:r w:rsidR="00B70531" w:rsidRPr="000C6004">
        <w:rPr>
          <w:sz w:val="22"/>
          <w:szCs w:val="22"/>
        </w:rPr>
        <w:t>ocal government:</w:t>
      </w:r>
    </w:p>
    <w:p w:rsidR="00B70531" w:rsidRPr="000C6004" w:rsidRDefault="00B70531" w:rsidP="00B7053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C6004">
        <w:rPr>
          <w:sz w:val="22"/>
          <w:szCs w:val="22"/>
        </w:rPr>
        <w:t>Cannot reject an application if it would prohibit service or create a significant gap in service coverage.</w:t>
      </w:r>
    </w:p>
    <w:p w:rsidR="000473D6" w:rsidRPr="000C6004" w:rsidRDefault="00B70531" w:rsidP="000473D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C6004">
        <w:rPr>
          <w:sz w:val="22"/>
          <w:szCs w:val="22"/>
        </w:rPr>
        <w:t>Cannot take an action that has the effect of prohibiting service or of closing a service gap unless there are available and technologically feasible alternatives. (</w:t>
      </w:r>
      <w:proofErr w:type="gramStart"/>
      <w:r w:rsidRPr="000C6004">
        <w:rPr>
          <w:sz w:val="22"/>
          <w:szCs w:val="22"/>
        </w:rPr>
        <w:t>see</w:t>
      </w:r>
      <w:proofErr w:type="gramEnd"/>
      <w:r w:rsidRPr="000C6004">
        <w:rPr>
          <w:sz w:val="22"/>
          <w:szCs w:val="22"/>
        </w:rPr>
        <w:t xml:space="preserve"> T-Mobile USA Inc. v. City of Anacortes (9th Cir. 2009) 572 F.3d 987.)</w:t>
      </w:r>
    </w:p>
    <w:p w:rsidR="000473D6" w:rsidRPr="000C6004" w:rsidRDefault="000473D6" w:rsidP="000473D6">
      <w:pPr>
        <w:pStyle w:val="ListParagraph"/>
        <w:rPr>
          <w:sz w:val="22"/>
          <w:szCs w:val="22"/>
        </w:rPr>
      </w:pPr>
    </w:p>
    <w:p w:rsidR="00B70531" w:rsidRPr="007C31AB" w:rsidRDefault="000473D6" w:rsidP="00CB0762">
      <w:pPr>
        <w:rPr>
          <w:sz w:val="22"/>
          <w:szCs w:val="22"/>
        </w:rPr>
      </w:pPr>
      <w:r w:rsidRPr="000C6004">
        <w:rPr>
          <w:sz w:val="22"/>
          <w:szCs w:val="22"/>
        </w:rPr>
        <w:t>Regarding service gaps, i</w:t>
      </w:r>
      <w:r w:rsidR="00B70531" w:rsidRPr="000C6004">
        <w:rPr>
          <w:sz w:val="22"/>
          <w:szCs w:val="22"/>
        </w:rPr>
        <w:t xml:space="preserve">f a telecom </w:t>
      </w:r>
      <w:r w:rsidRPr="000C6004">
        <w:rPr>
          <w:sz w:val="22"/>
          <w:szCs w:val="22"/>
        </w:rPr>
        <w:t>company</w:t>
      </w:r>
      <w:r w:rsidR="00B70531" w:rsidRPr="000C6004">
        <w:rPr>
          <w:sz w:val="22"/>
          <w:szCs w:val="22"/>
        </w:rPr>
        <w:t xml:space="preserve"> identifies </w:t>
      </w:r>
      <w:r w:rsidR="000C6004" w:rsidRPr="000C6004">
        <w:rPr>
          <w:sz w:val="22"/>
          <w:szCs w:val="22"/>
        </w:rPr>
        <w:t xml:space="preserve">what they determine as </w:t>
      </w:r>
      <w:r w:rsidR="00B70531" w:rsidRPr="000C6004">
        <w:rPr>
          <w:sz w:val="22"/>
          <w:szCs w:val="22"/>
        </w:rPr>
        <w:t>a significant gap in service coverage, and a</w:t>
      </w:r>
      <w:r w:rsidR="000C6004">
        <w:rPr>
          <w:sz w:val="22"/>
          <w:szCs w:val="22"/>
        </w:rPr>
        <w:t>n</w:t>
      </w:r>
      <w:r w:rsidR="00B70531" w:rsidRPr="000C6004">
        <w:rPr>
          <w:sz w:val="22"/>
          <w:szCs w:val="22"/>
        </w:rPr>
        <w:t xml:space="preserve"> application is submitted</w:t>
      </w:r>
      <w:r w:rsidR="000C6004" w:rsidRPr="000C6004">
        <w:rPr>
          <w:sz w:val="22"/>
          <w:szCs w:val="22"/>
        </w:rPr>
        <w:t xml:space="preserve"> with their internally generated coverage maps showing </w:t>
      </w:r>
      <w:r w:rsidR="000C6004">
        <w:rPr>
          <w:sz w:val="22"/>
          <w:szCs w:val="22"/>
        </w:rPr>
        <w:t>inadequate</w:t>
      </w:r>
      <w:r w:rsidR="000C6004" w:rsidRPr="000C6004">
        <w:rPr>
          <w:sz w:val="22"/>
          <w:szCs w:val="22"/>
        </w:rPr>
        <w:t xml:space="preserve"> coverage</w:t>
      </w:r>
      <w:r w:rsidR="000C6004">
        <w:rPr>
          <w:sz w:val="22"/>
          <w:szCs w:val="22"/>
        </w:rPr>
        <w:t xml:space="preserve"> in a certain locale</w:t>
      </w:r>
      <w:r w:rsidR="00B70531" w:rsidRPr="000C6004">
        <w:rPr>
          <w:sz w:val="22"/>
          <w:szCs w:val="22"/>
        </w:rPr>
        <w:t xml:space="preserve">, this </w:t>
      </w:r>
      <w:r w:rsidR="000C6004" w:rsidRPr="000C6004">
        <w:rPr>
          <w:sz w:val="22"/>
          <w:szCs w:val="22"/>
        </w:rPr>
        <w:t xml:space="preserve">can be </w:t>
      </w:r>
      <w:r w:rsidR="00B70531" w:rsidRPr="000C6004">
        <w:rPr>
          <w:sz w:val="22"/>
          <w:szCs w:val="22"/>
        </w:rPr>
        <w:t xml:space="preserve">treated as </w:t>
      </w:r>
      <w:r w:rsidRPr="000C6004">
        <w:rPr>
          <w:sz w:val="22"/>
          <w:szCs w:val="22"/>
        </w:rPr>
        <w:t>“</w:t>
      </w:r>
      <w:r w:rsidR="00B70531" w:rsidRPr="000C6004">
        <w:rPr>
          <w:sz w:val="22"/>
          <w:szCs w:val="22"/>
        </w:rPr>
        <w:t>prima facie evidence</w:t>
      </w:r>
      <w:r w:rsidRPr="000C6004">
        <w:rPr>
          <w:sz w:val="22"/>
          <w:szCs w:val="22"/>
        </w:rPr>
        <w:t>”</w:t>
      </w:r>
      <w:r w:rsidR="00B70531" w:rsidRPr="000C6004">
        <w:rPr>
          <w:sz w:val="22"/>
          <w:szCs w:val="22"/>
        </w:rPr>
        <w:t xml:space="preserve"> of a service gap. The local agency can only reject </w:t>
      </w:r>
      <w:r w:rsidR="000C6004" w:rsidRPr="000C6004">
        <w:rPr>
          <w:sz w:val="22"/>
          <w:szCs w:val="22"/>
        </w:rPr>
        <w:t xml:space="preserve">the application </w:t>
      </w:r>
      <w:r w:rsidR="00B70531" w:rsidRPr="000C6004">
        <w:rPr>
          <w:sz w:val="22"/>
          <w:szCs w:val="22"/>
        </w:rPr>
        <w:t>if an alternative exists.</w:t>
      </w:r>
      <w:r w:rsidR="000C6004">
        <w:rPr>
          <w:sz w:val="22"/>
          <w:szCs w:val="22"/>
        </w:rPr>
        <w:t xml:space="preserve"> However, t</w:t>
      </w:r>
      <w:r w:rsidR="000C6004" w:rsidRPr="000C6004">
        <w:rPr>
          <w:sz w:val="22"/>
          <w:szCs w:val="22"/>
        </w:rPr>
        <w:t xml:space="preserve">elecom companies state they must be able to provide in home coverage with their wireless signal. </w:t>
      </w:r>
      <w:r w:rsidR="000C6004">
        <w:rPr>
          <w:sz w:val="22"/>
          <w:szCs w:val="22"/>
        </w:rPr>
        <w:t>But</w:t>
      </w:r>
      <w:r w:rsidR="000C6004" w:rsidRPr="000C6004">
        <w:rPr>
          <w:sz w:val="22"/>
          <w:szCs w:val="22"/>
        </w:rPr>
        <w:t xml:space="preserve"> Federal law does NOT have any reference to in-building service as “service coverage” or even lack thereof as a “coverage gap.”</w:t>
      </w:r>
      <w:r w:rsidR="000C6004">
        <w:rPr>
          <w:sz w:val="22"/>
          <w:szCs w:val="22"/>
        </w:rPr>
        <w:br/>
      </w:r>
      <w:r w:rsidR="000C6004">
        <w:rPr>
          <w:sz w:val="22"/>
          <w:szCs w:val="22"/>
        </w:rPr>
        <w:br/>
      </w:r>
      <w:r w:rsidR="007C31AB">
        <w:rPr>
          <w:sz w:val="22"/>
          <w:szCs w:val="22"/>
        </w:rPr>
        <w:t>Finally, we assert that the</w:t>
      </w:r>
      <w:r w:rsidR="007C31AB">
        <w:rPr>
          <w:sz w:val="22"/>
          <w:szCs w:val="22"/>
        </w:rPr>
        <w:t xml:space="preserve"> Commission should not proceed in creating barriers for state and local permitting regula</w:t>
      </w:r>
      <w:r w:rsidR="007C31AB">
        <w:rPr>
          <w:sz w:val="22"/>
          <w:szCs w:val="22"/>
        </w:rPr>
        <w:t xml:space="preserve">tions. We must preserve local control over the placement of wireless facilities. </w:t>
      </w:r>
      <w:r w:rsidR="007C31AB">
        <w:rPr>
          <w:sz w:val="22"/>
          <w:szCs w:val="22"/>
        </w:rPr>
        <w:br/>
      </w:r>
      <w:bookmarkStart w:id="0" w:name="_GoBack"/>
      <w:bookmarkEnd w:id="0"/>
      <w:r w:rsidR="007C31AB">
        <w:rPr>
          <w:sz w:val="22"/>
          <w:szCs w:val="22"/>
        </w:rPr>
        <w:br/>
        <w:t>Sincerely,</w:t>
      </w:r>
      <w:r w:rsidR="007C31AB">
        <w:rPr>
          <w:sz w:val="22"/>
          <w:szCs w:val="22"/>
        </w:rPr>
        <w:br/>
        <w:t>Your Name (a</w:t>
      </w:r>
      <w:r w:rsidR="007C31AB">
        <w:rPr>
          <w:sz w:val="22"/>
          <w:szCs w:val="22"/>
        </w:rPr>
        <w:t>dd organization if you have one)</w:t>
      </w:r>
    </w:p>
    <w:sectPr w:rsidR="00B70531" w:rsidRPr="007C31AB" w:rsidSect="007C31AB">
      <w:pgSz w:w="12240" w:h="15840"/>
      <w:pgMar w:top="63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53681"/>
    <w:multiLevelType w:val="hybridMultilevel"/>
    <w:tmpl w:val="9ADA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13DC7"/>
    <w:multiLevelType w:val="hybridMultilevel"/>
    <w:tmpl w:val="7D72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62"/>
    <w:rsid w:val="000473D6"/>
    <w:rsid w:val="000C6004"/>
    <w:rsid w:val="003F19BE"/>
    <w:rsid w:val="004B2D5C"/>
    <w:rsid w:val="00682DD1"/>
    <w:rsid w:val="007C31AB"/>
    <w:rsid w:val="00AF5EFE"/>
    <w:rsid w:val="00B70531"/>
    <w:rsid w:val="00C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0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2491</Characters>
  <Application>Microsoft Macintosh Word</Application>
  <DocSecurity>0</DocSecurity>
  <Lines>20</Lines>
  <Paragraphs>5</Paragraphs>
  <ScaleCrop>false</ScaleCrop>
  <Company>Home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Sidnee Cox</dc:creator>
  <cp:keywords/>
  <dc:description/>
  <cp:lastModifiedBy>Sidnee Cox</cp:lastModifiedBy>
  <cp:revision>2</cp:revision>
  <dcterms:created xsi:type="dcterms:W3CDTF">2025-11-02T20:53:00Z</dcterms:created>
  <dcterms:modified xsi:type="dcterms:W3CDTF">2025-11-02T20:53:00Z</dcterms:modified>
</cp:coreProperties>
</file>